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039369" w14:textId="0DFC8C07" w:rsidR="00AE5B3C" w:rsidRPr="00AE5B3C" w:rsidRDefault="00AE5B3C" w:rsidP="00474807">
      <w:pPr>
        <w:jc w:val="both"/>
        <w:rPr>
          <w:rFonts w:ascii="Poppins SemiBold" w:hAnsi="Poppins SemiBold" w:cs="Poppins SemiBold"/>
        </w:rPr>
      </w:pPr>
      <w:r w:rsidRPr="00AE5B3C">
        <w:rPr>
          <w:rFonts w:ascii="Poppins SemiBold" w:hAnsi="Poppins SemiBold" w:cs="Poppins SemiBold"/>
        </w:rPr>
        <w:t>Report Only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2642"/>
      </w:tblGrid>
      <w:tr w:rsidR="001178A6" w:rsidRPr="001178A6" w14:paraId="05608C86" w14:textId="77777777" w:rsidTr="00AE5B3C">
        <w:trPr>
          <w:cantSplit/>
          <w:trHeight w:val="581"/>
        </w:trPr>
        <w:tc>
          <w:tcPr>
            <w:tcW w:w="4820" w:type="dxa"/>
            <w:vAlign w:val="center"/>
          </w:tcPr>
          <w:p w14:paraId="0D34DAA9" w14:textId="7723653F" w:rsidR="001178A6" w:rsidRPr="00AE5B3C" w:rsidRDefault="00AE5B3C" w:rsidP="00AE5B3C">
            <w:pPr>
              <w:jc w:val="both"/>
              <w:rPr>
                <w:rFonts w:ascii="Poppins SemiBold" w:hAnsi="Poppins SemiBold" w:cs="Poppins SemiBold"/>
                <w:color w:val="B29669"/>
              </w:rPr>
            </w:pPr>
            <w:r>
              <w:rPr>
                <w:rFonts w:ascii="Poppins SemiBold" w:hAnsi="Poppins SemiBold" w:cs="Poppins SemiBold"/>
                <w:color w:val="B29669"/>
              </w:rPr>
              <w:t>New Business</w:t>
            </w:r>
          </w:p>
        </w:tc>
        <w:tc>
          <w:tcPr>
            <w:tcW w:w="1701" w:type="dxa"/>
            <w:vAlign w:val="center"/>
          </w:tcPr>
          <w:p w14:paraId="3FB52F94" w14:textId="7C8E97FB" w:rsidR="001178A6" w:rsidRPr="001178A6" w:rsidRDefault="001178A6" w:rsidP="001178A6">
            <w:pPr>
              <w:jc w:val="center"/>
              <w:rPr>
                <w:rFonts w:ascii="Poppins SemiBold" w:hAnsi="Poppins SemiBold" w:cs="Poppins SemiBold"/>
              </w:rPr>
            </w:pPr>
            <w:r w:rsidRPr="001178A6">
              <w:rPr>
                <w:rFonts w:ascii="Poppins SemiBold" w:hAnsi="Poppins SemiBold" w:cs="Poppins SemiBold"/>
              </w:rPr>
              <w:t>1 Plan</w:t>
            </w:r>
          </w:p>
        </w:tc>
        <w:tc>
          <w:tcPr>
            <w:tcW w:w="2642" w:type="dxa"/>
            <w:vAlign w:val="center"/>
          </w:tcPr>
          <w:p w14:paraId="24EF24B9" w14:textId="1461E1C1" w:rsidR="001178A6" w:rsidRPr="001178A6" w:rsidRDefault="001178A6" w:rsidP="001178A6">
            <w:pPr>
              <w:jc w:val="center"/>
              <w:rPr>
                <w:rFonts w:ascii="Poppins SemiBold" w:hAnsi="Poppins SemiBold" w:cs="Poppins SemiBold"/>
              </w:rPr>
            </w:pPr>
            <w:r w:rsidRPr="001178A6">
              <w:rPr>
                <w:rFonts w:ascii="Poppins SemiBold" w:hAnsi="Poppins SemiBold" w:cs="Poppins SemiBold"/>
              </w:rPr>
              <w:t>Per Additional Plan</w:t>
            </w:r>
          </w:p>
        </w:tc>
      </w:tr>
      <w:tr w:rsidR="001178A6" w:rsidRPr="001178A6" w14:paraId="3406FABB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690FF2F5" w14:textId="5F303068" w:rsidR="001178A6" w:rsidRPr="00AE5B3C" w:rsidRDefault="00AE5B3C" w:rsidP="00AE5B3C">
            <w:pPr>
              <w:rPr>
                <w:rFonts w:ascii="Poppins" w:hAnsi="Poppins" w:cs="Poppins"/>
                <w:sz w:val="22"/>
                <w:szCs w:val="22"/>
              </w:rPr>
            </w:pPr>
            <w:r w:rsidRPr="00AE5B3C">
              <w:rPr>
                <w:rFonts w:ascii="Poppins" w:hAnsi="Poppins" w:cs="Poppins"/>
                <w:sz w:val="22"/>
                <w:szCs w:val="22"/>
              </w:rPr>
              <w:t>Pension Lump Sum &amp; Regular Business</w:t>
            </w:r>
          </w:p>
        </w:tc>
        <w:tc>
          <w:tcPr>
            <w:tcW w:w="1701" w:type="dxa"/>
            <w:vAlign w:val="center"/>
          </w:tcPr>
          <w:p w14:paraId="23E88F3A" w14:textId="666C5E10" w:rsidR="001178A6" w:rsidRP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£125</w:t>
            </w:r>
          </w:p>
        </w:tc>
        <w:tc>
          <w:tcPr>
            <w:tcW w:w="2642" w:type="dxa"/>
            <w:vAlign w:val="center"/>
          </w:tcPr>
          <w:p w14:paraId="2BCB5EF7" w14:textId="3FA560E7" w:rsidR="001178A6" w:rsidRP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£25</w:t>
            </w:r>
          </w:p>
        </w:tc>
      </w:tr>
      <w:tr w:rsidR="00AE5B3C" w:rsidRPr="001178A6" w14:paraId="29AAB856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5ECBA59B" w14:textId="2146FBA2" w:rsidR="00AE5B3C" w:rsidRPr="00AE5B3C" w:rsidRDefault="00AE5B3C" w:rsidP="00AE5B3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Investment Lump Sum &amp; Regular Business</w:t>
            </w:r>
          </w:p>
        </w:tc>
        <w:tc>
          <w:tcPr>
            <w:tcW w:w="1701" w:type="dxa"/>
            <w:vAlign w:val="center"/>
          </w:tcPr>
          <w:p w14:paraId="459D0359" w14:textId="53C7CB79" w:rsidR="00AE5B3C" w:rsidRP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£125</w:t>
            </w:r>
          </w:p>
        </w:tc>
        <w:tc>
          <w:tcPr>
            <w:tcW w:w="2642" w:type="dxa"/>
            <w:vAlign w:val="center"/>
          </w:tcPr>
          <w:p w14:paraId="33965795" w14:textId="021D285F" w:rsidR="00AE5B3C" w:rsidRP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£25</w:t>
            </w:r>
          </w:p>
        </w:tc>
      </w:tr>
      <w:tr w:rsidR="00AE5B3C" w:rsidRPr="001178A6" w14:paraId="2610F45C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08027812" w14:textId="66356823" w:rsidR="00AE5B3C" w:rsidRDefault="00AE5B3C" w:rsidP="00AE5B3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Short Suitability Letter</w:t>
            </w:r>
          </w:p>
        </w:tc>
        <w:tc>
          <w:tcPr>
            <w:tcW w:w="1701" w:type="dxa"/>
            <w:vAlign w:val="center"/>
          </w:tcPr>
          <w:p w14:paraId="61C4F9AB" w14:textId="48C077E0" w:rsidR="00AE5B3C" w:rsidRP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£60</w:t>
            </w:r>
          </w:p>
        </w:tc>
        <w:tc>
          <w:tcPr>
            <w:tcW w:w="2642" w:type="dxa"/>
            <w:vAlign w:val="center"/>
          </w:tcPr>
          <w:p w14:paraId="5CAAF8A0" w14:textId="3B209953" w:rsidR="00AE5B3C" w:rsidRP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£25</w:t>
            </w:r>
          </w:p>
        </w:tc>
      </w:tr>
      <w:tr w:rsidR="00AE5B3C" w:rsidRPr="001178A6" w14:paraId="067C0D55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6F0509A4" w14:textId="77777777" w:rsidR="00AE5B3C" w:rsidRDefault="00AE5B3C" w:rsidP="00AE5B3C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4FC5E6" w14:textId="77777777" w:rsid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2267E2FF" w14:textId="77777777" w:rsidR="00AE5B3C" w:rsidRDefault="00AE5B3C" w:rsidP="00AE5B3C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AE5B3C" w:rsidRPr="001178A6" w14:paraId="6B698C53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4AA2CFC2" w14:textId="07AAF0B7" w:rsidR="00AE5B3C" w:rsidRPr="00AE5B3C" w:rsidRDefault="00AE5B3C" w:rsidP="00AE5B3C">
            <w:pPr>
              <w:rPr>
                <w:rFonts w:ascii="Poppins SemiBold" w:hAnsi="Poppins SemiBold" w:cs="Poppins SemiBold"/>
                <w:color w:val="B29669"/>
              </w:rPr>
            </w:pPr>
            <w:r>
              <w:rPr>
                <w:rFonts w:ascii="Poppins SemiBold" w:hAnsi="Poppins SemiBold" w:cs="Poppins SemiBold"/>
                <w:color w:val="B29669"/>
              </w:rPr>
              <w:t xml:space="preserve">Replacement Business </w:t>
            </w:r>
          </w:p>
        </w:tc>
        <w:tc>
          <w:tcPr>
            <w:tcW w:w="1701" w:type="dxa"/>
            <w:vAlign w:val="center"/>
          </w:tcPr>
          <w:p w14:paraId="63093558" w14:textId="5F180C36" w:rsidR="00AE5B3C" w:rsidRPr="00AE5B3C" w:rsidRDefault="00AE5B3C" w:rsidP="00AE5B3C">
            <w:pPr>
              <w:jc w:val="center"/>
              <w:rPr>
                <w:rFonts w:ascii="Poppins SemiBold" w:hAnsi="Poppins SemiBold" w:cs="Poppins SemiBold"/>
                <w:color w:val="333333"/>
              </w:rPr>
            </w:pPr>
            <w:r>
              <w:rPr>
                <w:rFonts w:ascii="Poppins SemiBold" w:hAnsi="Poppins SemiBold" w:cs="Poppins SemiBold"/>
                <w:color w:val="333333"/>
              </w:rPr>
              <w:t>1 Plan</w:t>
            </w:r>
          </w:p>
        </w:tc>
        <w:tc>
          <w:tcPr>
            <w:tcW w:w="2642" w:type="dxa"/>
            <w:vAlign w:val="center"/>
          </w:tcPr>
          <w:p w14:paraId="73505213" w14:textId="52179BBA" w:rsidR="00AE5B3C" w:rsidRPr="00AE5B3C" w:rsidRDefault="00AE5B3C" w:rsidP="00AE5B3C">
            <w:pPr>
              <w:jc w:val="center"/>
              <w:rPr>
                <w:rFonts w:ascii="Poppins SemiBold" w:hAnsi="Poppins SemiBold" w:cs="Poppins SemiBold"/>
                <w:color w:val="333333"/>
              </w:rPr>
            </w:pPr>
            <w:r>
              <w:rPr>
                <w:rFonts w:ascii="Poppins SemiBold" w:hAnsi="Poppins SemiBold" w:cs="Poppins SemiBold"/>
                <w:color w:val="333333"/>
              </w:rPr>
              <w:t>Per Additional Plan</w:t>
            </w:r>
          </w:p>
        </w:tc>
      </w:tr>
      <w:tr w:rsidR="00AE5B3C" w:rsidRPr="001178A6" w14:paraId="2020AC67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0693C157" w14:textId="4F8B4A43" w:rsidR="00AE5B3C" w:rsidRP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Pension Transfer</w:t>
            </w:r>
          </w:p>
        </w:tc>
        <w:tc>
          <w:tcPr>
            <w:tcW w:w="1701" w:type="dxa"/>
            <w:vAlign w:val="center"/>
          </w:tcPr>
          <w:p w14:paraId="6D6CE505" w14:textId="019CB538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£175</w:t>
            </w:r>
          </w:p>
        </w:tc>
        <w:tc>
          <w:tcPr>
            <w:tcW w:w="2642" w:type="dxa"/>
            <w:vAlign w:val="center"/>
          </w:tcPr>
          <w:p w14:paraId="059AD66C" w14:textId="2E42F5FB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AE5B3C" w:rsidRPr="001178A6" w14:paraId="1C6DB662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127F3929" w14:textId="0E58D757" w:rsid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Pension Sharing Order</w:t>
            </w:r>
          </w:p>
        </w:tc>
        <w:tc>
          <w:tcPr>
            <w:tcW w:w="1701" w:type="dxa"/>
            <w:vAlign w:val="center"/>
          </w:tcPr>
          <w:p w14:paraId="35C0A14D" w14:textId="24682164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£175</w:t>
            </w:r>
          </w:p>
        </w:tc>
        <w:tc>
          <w:tcPr>
            <w:tcW w:w="2642" w:type="dxa"/>
            <w:vAlign w:val="center"/>
          </w:tcPr>
          <w:p w14:paraId="39F8E4C9" w14:textId="53300B1D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AE5B3C" w:rsidRPr="001178A6" w14:paraId="1E552CD5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1601A5F3" w14:textId="7040EF73" w:rsid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Dependent Drawdown</w:t>
            </w:r>
          </w:p>
        </w:tc>
        <w:tc>
          <w:tcPr>
            <w:tcW w:w="1701" w:type="dxa"/>
            <w:vAlign w:val="center"/>
          </w:tcPr>
          <w:p w14:paraId="58480E7D" w14:textId="11DC1F21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£250</w:t>
            </w:r>
          </w:p>
        </w:tc>
        <w:tc>
          <w:tcPr>
            <w:tcW w:w="2642" w:type="dxa"/>
            <w:vAlign w:val="center"/>
          </w:tcPr>
          <w:p w14:paraId="5F60C43C" w14:textId="43CCC19A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AE5B3C" w:rsidRPr="001178A6" w14:paraId="01791762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42E33BF6" w14:textId="2FFDD169" w:rsid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Internal Crystallisation</w:t>
            </w:r>
          </w:p>
        </w:tc>
        <w:tc>
          <w:tcPr>
            <w:tcW w:w="1701" w:type="dxa"/>
            <w:vAlign w:val="center"/>
          </w:tcPr>
          <w:p w14:paraId="22802649" w14:textId="3DF11F2E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£250</w:t>
            </w:r>
          </w:p>
        </w:tc>
        <w:tc>
          <w:tcPr>
            <w:tcW w:w="2642" w:type="dxa"/>
            <w:vAlign w:val="center"/>
          </w:tcPr>
          <w:p w14:paraId="294970CC" w14:textId="701B1778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AE5B3C" w:rsidRPr="001178A6" w14:paraId="4A04B8C0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618AB841" w14:textId="2E631EC5" w:rsid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External Crystallisation</w:t>
            </w:r>
          </w:p>
        </w:tc>
        <w:tc>
          <w:tcPr>
            <w:tcW w:w="1701" w:type="dxa"/>
            <w:vAlign w:val="center"/>
          </w:tcPr>
          <w:p w14:paraId="21CB7513" w14:textId="0D9347D7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£250</w:t>
            </w:r>
          </w:p>
        </w:tc>
        <w:tc>
          <w:tcPr>
            <w:tcW w:w="2642" w:type="dxa"/>
            <w:vAlign w:val="center"/>
          </w:tcPr>
          <w:p w14:paraId="15571D1E" w14:textId="476671B5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AE5B3C" w:rsidRPr="001178A6" w14:paraId="401D18AE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6BE51D05" w14:textId="10355A23" w:rsid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Bond &amp; Unit Trust</w:t>
            </w:r>
          </w:p>
        </w:tc>
        <w:tc>
          <w:tcPr>
            <w:tcW w:w="1701" w:type="dxa"/>
            <w:vAlign w:val="center"/>
          </w:tcPr>
          <w:p w14:paraId="4F9735E9" w14:textId="66003618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£200</w:t>
            </w:r>
          </w:p>
        </w:tc>
        <w:tc>
          <w:tcPr>
            <w:tcW w:w="2642" w:type="dxa"/>
            <w:vAlign w:val="center"/>
          </w:tcPr>
          <w:p w14:paraId="76FC1777" w14:textId="663A0BCF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</w:t>
            </w:r>
          </w:p>
        </w:tc>
      </w:tr>
      <w:tr w:rsidR="00AE5B3C" w:rsidRPr="001178A6" w14:paraId="7BDEB174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76156447" w14:textId="59067921" w:rsid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Equity ISA Transfer</w:t>
            </w:r>
          </w:p>
        </w:tc>
        <w:tc>
          <w:tcPr>
            <w:tcW w:w="1701" w:type="dxa"/>
            <w:vAlign w:val="center"/>
          </w:tcPr>
          <w:p w14:paraId="2DB4F0CE" w14:textId="3D706160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£125</w:t>
            </w:r>
          </w:p>
        </w:tc>
        <w:tc>
          <w:tcPr>
            <w:tcW w:w="2642" w:type="dxa"/>
            <w:vAlign w:val="center"/>
          </w:tcPr>
          <w:p w14:paraId="1186CFCD" w14:textId="3C946FAA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</w:t>
            </w:r>
          </w:p>
        </w:tc>
      </w:tr>
      <w:tr w:rsidR="00AE5B3C" w:rsidRPr="001178A6" w14:paraId="211A6AAA" w14:textId="77777777" w:rsidTr="00AE5B3C">
        <w:trPr>
          <w:cantSplit/>
          <w:trHeight w:val="561"/>
        </w:trPr>
        <w:tc>
          <w:tcPr>
            <w:tcW w:w="4820" w:type="dxa"/>
            <w:vAlign w:val="center"/>
          </w:tcPr>
          <w:p w14:paraId="4B06EFD0" w14:textId="06DF7DCE" w:rsidR="00AE5B3C" w:rsidRDefault="00AE5B3C" w:rsidP="00AE5B3C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Cash ISA Transfer</w:t>
            </w:r>
          </w:p>
        </w:tc>
        <w:tc>
          <w:tcPr>
            <w:tcW w:w="1701" w:type="dxa"/>
            <w:vAlign w:val="center"/>
          </w:tcPr>
          <w:p w14:paraId="642AD03C" w14:textId="7F1D37D2" w:rsidR="00AE5B3C" w:rsidRPr="00AE5B3C" w:rsidRDefault="00AE5B3C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£100</w:t>
            </w:r>
          </w:p>
        </w:tc>
        <w:tc>
          <w:tcPr>
            <w:tcW w:w="2642" w:type="dxa"/>
            <w:vAlign w:val="center"/>
          </w:tcPr>
          <w:p w14:paraId="5983672F" w14:textId="4DB7E992" w:rsidR="00AE5B3C" w:rsidRPr="00AE5B3C" w:rsidRDefault="00B478BA" w:rsidP="00AE5B3C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</w:t>
            </w:r>
          </w:p>
        </w:tc>
      </w:tr>
    </w:tbl>
    <w:p w14:paraId="52A41975" w14:textId="3CED6477" w:rsidR="001178A6" w:rsidRDefault="001178A6" w:rsidP="00474807">
      <w:pPr>
        <w:jc w:val="both"/>
        <w:rPr>
          <w:rFonts w:ascii="Poppins SemiBold" w:hAnsi="Poppins SemiBold" w:cs="Poppins SemiBold"/>
          <w:color w:val="B29669"/>
        </w:rPr>
      </w:pPr>
    </w:p>
    <w:p w14:paraId="41BEED51" w14:textId="54A30C4C" w:rsidR="00B478BA" w:rsidRDefault="00B478BA">
      <w:pPr>
        <w:rPr>
          <w:rFonts w:ascii="Poppins SemiBold" w:hAnsi="Poppins SemiBold" w:cs="Poppins SemiBold"/>
          <w:color w:val="B29669"/>
        </w:rPr>
      </w:pPr>
      <w:r>
        <w:rPr>
          <w:rFonts w:ascii="Poppins SemiBold" w:hAnsi="Poppins SemiBold" w:cs="Poppins SemiBold"/>
          <w:color w:val="B29669"/>
        </w:rPr>
        <w:br w:type="page"/>
      </w:r>
    </w:p>
    <w:p w14:paraId="0E1BB194" w14:textId="2EEB3923" w:rsidR="00B478BA" w:rsidRDefault="00B478BA" w:rsidP="00474807">
      <w:pPr>
        <w:jc w:val="both"/>
        <w:rPr>
          <w:rFonts w:ascii="Poppins SemiBold" w:hAnsi="Poppins SemiBold" w:cs="Poppins SemiBold"/>
        </w:rPr>
      </w:pPr>
      <w:r>
        <w:rPr>
          <w:rFonts w:ascii="Poppins SemiBold" w:hAnsi="Poppins SemiBold" w:cs="Poppins SemiBold"/>
        </w:rPr>
        <w:lastRenderedPageBreak/>
        <w:t>Full Case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2642"/>
      </w:tblGrid>
      <w:tr w:rsidR="00B478BA" w:rsidRPr="001178A6" w14:paraId="10AFF12E" w14:textId="77777777" w:rsidTr="00925F59">
        <w:trPr>
          <w:cantSplit/>
          <w:trHeight w:val="581"/>
        </w:trPr>
        <w:tc>
          <w:tcPr>
            <w:tcW w:w="4820" w:type="dxa"/>
            <w:vAlign w:val="center"/>
          </w:tcPr>
          <w:p w14:paraId="3ECE5E08" w14:textId="77777777" w:rsidR="00B478BA" w:rsidRPr="00AE5B3C" w:rsidRDefault="00B478BA" w:rsidP="00925F59">
            <w:pPr>
              <w:jc w:val="both"/>
              <w:rPr>
                <w:rFonts w:ascii="Poppins SemiBold" w:hAnsi="Poppins SemiBold" w:cs="Poppins SemiBold"/>
                <w:color w:val="B29669"/>
              </w:rPr>
            </w:pPr>
            <w:r>
              <w:rPr>
                <w:rFonts w:ascii="Poppins SemiBold" w:hAnsi="Poppins SemiBold" w:cs="Poppins SemiBold"/>
                <w:color w:val="B29669"/>
              </w:rPr>
              <w:t>New Business</w:t>
            </w:r>
          </w:p>
        </w:tc>
        <w:tc>
          <w:tcPr>
            <w:tcW w:w="1701" w:type="dxa"/>
            <w:vAlign w:val="center"/>
          </w:tcPr>
          <w:p w14:paraId="0DFA299B" w14:textId="77777777" w:rsidR="00B478BA" w:rsidRPr="001178A6" w:rsidRDefault="00B478BA" w:rsidP="00925F59">
            <w:pPr>
              <w:jc w:val="center"/>
              <w:rPr>
                <w:rFonts w:ascii="Poppins SemiBold" w:hAnsi="Poppins SemiBold" w:cs="Poppins SemiBold"/>
              </w:rPr>
            </w:pPr>
            <w:r w:rsidRPr="001178A6">
              <w:rPr>
                <w:rFonts w:ascii="Poppins SemiBold" w:hAnsi="Poppins SemiBold" w:cs="Poppins SemiBold"/>
              </w:rPr>
              <w:t>1 Plan</w:t>
            </w:r>
          </w:p>
        </w:tc>
        <w:tc>
          <w:tcPr>
            <w:tcW w:w="2642" w:type="dxa"/>
            <w:vAlign w:val="center"/>
          </w:tcPr>
          <w:p w14:paraId="511AEAD6" w14:textId="77777777" w:rsidR="00B478BA" w:rsidRPr="001178A6" w:rsidRDefault="00B478BA" w:rsidP="00925F59">
            <w:pPr>
              <w:jc w:val="center"/>
              <w:rPr>
                <w:rFonts w:ascii="Poppins SemiBold" w:hAnsi="Poppins SemiBold" w:cs="Poppins SemiBold"/>
              </w:rPr>
            </w:pPr>
            <w:r w:rsidRPr="001178A6">
              <w:rPr>
                <w:rFonts w:ascii="Poppins SemiBold" w:hAnsi="Poppins SemiBold" w:cs="Poppins SemiBold"/>
              </w:rPr>
              <w:t>Per Additional Plan</w:t>
            </w:r>
          </w:p>
        </w:tc>
      </w:tr>
      <w:tr w:rsidR="00B478BA" w:rsidRPr="001178A6" w14:paraId="3BD49A0E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48C43898" w14:textId="77777777" w:rsidR="00B478BA" w:rsidRPr="00AE5B3C" w:rsidRDefault="00B478BA" w:rsidP="00925F59">
            <w:pPr>
              <w:rPr>
                <w:rFonts w:ascii="Poppins" w:hAnsi="Poppins" w:cs="Poppins"/>
                <w:sz w:val="22"/>
                <w:szCs w:val="22"/>
              </w:rPr>
            </w:pPr>
            <w:r w:rsidRPr="00AE5B3C">
              <w:rPr>
                <w:rFonts w:ascii="Poppins" w:hAnsi="Poppins" w:cs="Poppins"/>
                <w:sz w:val="22"/>
                <w:szCs w:val="22"/>
              </w:rPr>
              <w:t>Pension Lump Sum &amp; Regular Business</w:t>
            </w:r>
          </w:p>
        </w:tc>
        <w:tc>
          <w:tcPr>
            <w:tcW w:w="1701" w:type="dxa"/>
            <w:vAlign w:val="center"/>
          </w:tcPr>
          <w:p w14:paraId="2ABBF29E" w14:textId="39AB75E2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£200</w:t>
            </w:r>
          </w:p>
        </w:tc>
        <w:tc>
          <w:tcPr>
            <w:tcW w:w="2642" w:type="dxa"/>
            <w:vAlign w:val="center"/>
          </w:tcPr>
          <w:p w14:paraId="0757513F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£25</w:t>
            </w:r>
          </w:p>
        </w:tc>
      </w:tr>
      <w:tr w:rsidR="00B478BA" w:rsidRPr="001178A6" w14:paraId="125CFD6E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6626DF74" w14:textId="77777777" w:rsidR="00B478BA" w:rsidRPr="00AE5B3C" w:rsidRDefault="00B478BA" w:rsidP="00925F59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Investment Lump Sum &amp; Regular Business</w:t>
            </w:r>
          </w:p>
        </w:tc>
        <w:tc>
          <w:tcPr>
            <w:tcW w:w="1701" w:type="dxa"/>
            <w:vAlign w:val="center"/>
          </w:tcPr>
          <w:p w14:paraId="7C575335" w14:textId="18B5A642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£200</w:t>
            </w:r>
          </w:p>
        </w:tc>
        <w:tc>
          <w:tcPr>
            <w:tcW w:w="2642" w:type="dxa"/>
            <w:vAlign w:val="center"/>
          </w:tcPr>
          <w:p w14:paraId="3D2011F0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£25</w:t>
            </w:r>
          </w:p>
        </w:tc>
      </w:tr>
      <w:tr w:rsidR="00B478BA" w:rsidRPr="001178A6" w14:paraId="3FCDC876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14732541" w14:textId="77777777" w:rsidR="00B478BA" w:rsidRDefault="00B478BA" w:rsidP="00925F59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Short Suitability Letter</w:t>
            </w:r>
          </w:p>
        </w:tc>
        <w:tc>
          <w:tcPr>
            <w:tcW w:w="1701" w:type="dxa"/>
            <w:vAlign w:val="center"/>
          </w:tcPr>
          <w:p w14:paraId="2068DC3F" w14:textId="45B5F427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£125</w:t>
            </w:r>
          </w:p>
        </w:tc>
        <w:tc>
          <w:tcPr>
            <w:tcW w:w="2642" w:type="dxa"/>
            <w:vAlign w:val="center"/>
          </w:tcPr>
          <w:p w14:paraId="71D6281D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£25</w:t>
            </w:r>
          </w:p>
        </w:tc>
      </w:tr>
      <w:tr w:rsidR="00B478BA" w:rsidRPr="001178A6" w14:paraId="5AB090A5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54902E4F" w14:textId="77777777" w:rsidR="00B478BA" w:rsidRDefault="00B478BA" w:rsidP="00925F5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4D6591" w14:textId="77777777" w:rsidR="00B478BA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463E2F7C" w14:textId="77777777" w:rsidR="00B478BA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B478BA" w:rsidRPr="001178A6" w14:paraId="3E5669B7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42A9F9A9" w14:textId="77777777" w:rsidR="00B478BA" w:rsidRPr="00AE5B3C" w:rsidRDefault="00B478BA" w:rsidP="00925F59">
            <w:pPr>
              <w:rPr>
                <w:rFonts w:ascii="Poppins SemiBold" w:hAnsi="Poppins SemiBold" w:cs="Poppins SemiBold"/>
                <w:color w:val="B29669"/>
              </w:rPr>
            </w:pPr>
            <w:r>
              <w:rPr>
                <w:rFonts w:ascii="Poppins SemiBold" w:hAnsi="Poppins SemiBold" w:cs="Poppins SemiBold"/>
                <w:color w:val="B29669"/>
              </w:rPr>
              <w:t xml:space="preserve">Replacement Business </w:t>
            </w:r>
          </w:p>
        </w:tc>
        <w:tc>
          <w:tcPr>
            <w:tcW w:w="1701" w:type="dxa"/>
            <w:vAlign w:val="center"/>
          </w:tcPr>
          <w:p w14:paraId="0DDB9B91" w14:textId="77777777" w:rsidR="00B478BA" w:rsidRPr="00AE5B3C" w:rsidRDefault="00B478BA" w:rsidP="00925F59">
            <w:pPr>
              <w:jc w:val="center"/>
              <w:rPr>
                <w:rFonts w:ascii="Poppins SemiBold" w:hAnsi="Poppins SemiBold" w:cs="Poppins SemiBold"/>
                <w:color w:val="333333"/>
              </w:rPr>
            </w:pPr>
            <w:r>
              <w:rPr>
                <w:rFonts w:ascii="Poppins SemiBold" w:hAnsi="Poppins SemiBold" w:cs="Poppins SemiBold"/>
                <w:color w:val="333333"/>
              </w:rPr>
              <w:t>1 Plan</w:t>
            </w:r>
          </w:p>
        </w:tc>
        <w:tc>
          <w:tcPr>
            <w:tcW w:w="2642" w:type="dxa"/>
            <w:vAlign w:val="center"/>
          </w:tcPr>
          <w:p w14:paraId="3CEBD4FB" w14:textId="77777777" w:rsidR="00B478BA" w:rsidRPr="00AE5B3C" w:rsidRDefault="00B478BA" w:rsidP="00925F59">
            <w:pPr>
              <w:jc w:val="center"/>
              <w:rPr>
                <w:rFonts w:ascii="Poppins SemiBold" w:hAnsi="Poppins SemiBold" w:cs="Poppins SemiBold"/>
                <w:color w:val="333333"/>
              </w:rPr>
            </w:pPr>
            <w:r>
              <w:rPr>
                <w:rFonts w:ascii="Poppins SemiBold" w:hAnsi="Poppins SemiBold" w:cs="Poppins SemiBold"/>
                <w:color w:val="333333"/>
              </w:rPr>
              <w:t>Per Additional Plan</w:t>
            </w:r>
          </w:p>
        </w:tc>
      </w:tr>
      <w:tr w:rsidR="00B478BA" w:rsidRPr="001178A6" w14:paraId="490BD25C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142264BB" w14:textId="77777777" w:rsidR="00B478BA" w:rsidRPr="00AE5B3C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Pension Transfer</w:t>
            </w:r>
          </w:p>
        </w:tc>
        <w:tc>
          <w:tcPr>
            <w:tcW w:w="1701" w:type="dxa"/>
            <w:vAlign w:val="center"/>
          </w:tcPr>
          <w:p w14:paraId="067F05D8" w14:textId="00E8DB89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£350</w:t>
            </w:r>
          </w:p>
        </w:tc>
        <w:tc>
          <w:tcPr>
            <w:tcW w:w="2642" w:type="dxa"/>
            <w:vAlign w:val="center"/>
          </w:tcPr>
          <w:p w14:paraId="520FF3E1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B478BA" w:rsidRPr="001178A6" w14:paraId="1D7DD7E7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6591E22B" w14:textId="77777777" w:rsidR="00B478BA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Pension Sharing Order</w:t>
            </w:r>
          </w:p>
        </w:tc>
        <w:tc>
          <w:tcPr>
            <w:tcW w:w="1701" w:type="dxa"/>
            <w:vAlign w:val="center"/>
          </w:tcPr>
          <w:p w14:paraId="289E8827" w14:textId="1783F139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£350</w:t>
            </w:r>
          </w:p>
        </w:tc>
        <w:tc>
          <w:tcPr>
            <w:tcW w:w="2642" w:type="dxa"/>
            <w:vAlign w:val="center"/>
          </w:tcPr>
          <w:p w14:paraId="64DA15A9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B478BA" w:rsidRPr="001178A6" w14:paraId="2E96181A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7FD074C8" w14:textId="77777777" w:rsidR="00B478BA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Dependent Drawdown</w:t>
            </w:r>
          </w:p>
        </w:tc>
        <w:tc>
          <w:tcPr>
            <w:tcW w:w="1701" w:type="dxa"/>
            <w:vAlign w:val="center"/>
          </w:tcPr>
          <w:p w14:paraId="7B1D21E0" w14:textId="663159B2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£425</w:t>
            </w:r>
          </w:p>
        </w:tc>
        <w:tc>
          <w:tcPr>
            <w:tcW w:w="2642" w:type="dxa"/>
            <w:vAlign w:val="center"/>
          </w:tcPr>
          <w:p w14:paraId="27A98D15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B478BA" w:rsidRPr="001178A6" w14:paraId="75454142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4F275D22" w14:textId="77777777" w:rsidR="00B478BA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Internal Crystallisation</w:t>
            </w:r>
          </w:p>
        </w:tc>
        <w:tc>
          <w:tcPr>
            <w:tcW w:w="1701" w:type="dxa"/>
            <w:vAlign w:val="center"/>
          </w:tcPr>
          <w:p w14:paraId="342CCA54" w14:textId="4F503008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£425</w:t>
            </w:r>
          </w:p>
        </w:tc>
        <w:tc>
          <w:tcPr>
            <w:tcW w:w="2642" w:type="dxa"/>
            <w:vAlign w:val="center"/>
          </w:tcPr>
          <w:p w14:paraId="355ABE5A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B478BA" w:rsidRPr="001178A6" w14:paraId="63AD72E2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7CE57483" w14:textId="77777777" w:rsidR="00B478BA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External Crystallisation</w:t>
            </w:r>
          </w:p>
        </w:tc>
        <w:tc>
          <w:tcPr>
            <w:tcW w:w="1701" w:type="dxa"/>
            <w:vAlign w:val="center"/>
          </w:tcPr>
          <w:p w14:paraId="09B3C964" w14:textId="03419DDB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£425</w:t>
            </w:r>
          </w:p>
        </w:tc>
        <w:tc>
          <w:tcPr>
            <w:tcW w:w="2642" w:type="dxa"/>
            <w:vAlign w:val="center"/>
          </w:tcPr>
          <w:p w14:paraId="5141C849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£40</w:t>
            </w:r>
          </w:p>
        </w:tc>
      </w:tr>
      <w:tr w:rsidR="00B478BA" w:rsidRPr="001178A6" w14:paraId="11D79365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101D2431" w14:textId="77777777" w:rsidR="00B478BA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Bond &amp; Unit Trust</w:t>
            </w:r>
          </w:p>
        </w:tc>
        <w:tc>
          <w:tcPr>
            <w:tcW w:w="1701" w:type="dxa"/>
            <w:vAlign w:val="center"/>
          </w:tcPr>
          <w:p w14:paraId="49022858" w14:textId="3CFA129B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£300</w:t>
            </w:r>
          </w:p>
        </w:tc>
        <w:tc>
          <w:tcPr>
            <w:tcW w:w="2642" w:type="dxa"/>
            <w:vAlign w:val="center"/>
          </w:tcPr>
          <w:p w14:paraId="72D288D0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</w:t>
            </w:r>
          </w:p>
        </w:tc>
      </w:tr>
      <w:tr w:rsidR="00B478BA" w:rsidRPr="001178A6" w14:paraId="0DBC395A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163E38AD" w14:textId="77777777" w:rsidR="00B478BA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Equity ISA Transfer</w:t>
            </w:r>
          </w:p>
        </w:tc>
        <w:tc>
          <w:tcPr>
            <w:tcW w:w="1701" w:type="dxa"/>
            <w:vAlign w:val="center"/>
          </w:tcPr>
          <w:p w14:paraId="6C10F40D" w14:textId="0E3C3A8D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£200</w:t>
            </w:r>
          </w:p>
        </w:tc>
        <w:tc>
          <w:tcPr>
            <w:tcW w:w="2642" w:type="dxa"/>
            <w:vAlign w:val="center"/>
          </w:tcPr>
          <w:p w14:paraId="616F8132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</w:t>
            </w:r>
          </w:p>
        </w:tc>
      </w:tr>
      <w:tr w:rsidR="00B478BA" w:rsidRPr="001178A6" w14:paraId="495FC6EA" w14:textId="77777777" w:rsidTr="00925F59">
        <w:trPr>
          <w:cantSplit/>
          <w:trHeight w:val="561"/>
        </w:trPr>
        <w:tc>
          <w:tcPr>
            <w:tcW w:w="4820" w:type="dxa"/>
            <w:vAlign w:val="center"/>
          </w:tcPr>
          <w:p w14:paraId="08F0F18A" w14:textId="77777777" w:rsidR="00B478BA" w:rsidRDefault="00B478BA" w:rsidP="00925F59">
            <w:pPr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Cash ISA Transfer</w:t>
            </w:r>
          </w:p>
        </w:tc>
        <w:tc>
          <w:tcPr>
            <w:tcW w:w="1701" w:type="dxa"/>
            <w:vAlign w:val="center"/>
          </w:tcPr>
          <w:p w14:paraId="1E6EE552" w14:textId="41001F9F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£175</w:t>
            </w:r>
          </w:p>
        </w:tc>
        <w:tc>
          <w:tcPr>
            <w:tcW w:w="2642" w:type="dxa"/>
            <w:vAlign w:val="center"/>
          </w:tcPr>
          <w:p w14:paraId="1F603862" w14:textId="77777777" w:rsidR="00B478BA" w:rsidRPr="00AE5B3C" w:rsidRDefault="00B478BA" w:rsidP="00925F59">
            <w:pPr>
              <w:jc w:val="center"/>
              <w:rPr>
                <w:rFonts w:ascii="Poppins" w:hAnsi="Poppins" w:cs="Poppins"/>
                <w:color w:val="333333"/>
                <w:sz w:val="22"/>
                <w:szCs w:val="22"/>
              </w:rPr>
            </w:pPr>
            <w:r>
              <w:rPr>
                <w:rFonts w:ascii="Poppins" w:hAnsi="Poppins" w:cs="Poppins"/>
                <w:color w:val="333333"/>
                <w:sz w:val="22"/>
                <w:szCs w:val="22"/>
              </w:rPr>
              <w:t>£25</w:t>
            </w:r>
          </w:p>
        </w:tc>
      </w:tr>
    </w:tbl>
    <w:p w14:paraId="104193C3" w14:textId="77777777" w:rsidR="00B478BA" w:rsidRDefault="00B478BA" w:rsidP="00474807">
      <w:pPr>
        <w:jc w:val="both"/>
        <w:rPr>
          <w:rFonts w:ascii="Poppins SemiBold" w:hAnsi="Poppins SemiBold" w:cs="Poppins SemiBold"/>
        </w:rPr>
      </w:pPr>
    </w:p>
    <w:p w14:paraId="2AC3EE3F" w14:textId="7C518ACB" w:rsidR="00B478BA" w:rsidRDefault="00B478BA" w:rsidP="00474807">
      <w:pPr>
        <w:jc w:val="both"/>
        <w:rPr>
          <w:rFonts w:ascii="Poppins" w:hAnsi="Poppins" w:cs="Poppins"/>
          <w:color w:val="B29669"/>
        </w:rPr>
      </w:pPr>
      <w:r w:rsidRPr="00B478BA">
        <w:rPr>
          <w:rFonts w:ascii="Poppins" w:hAnsi="Poppins" w:cs="Poppins"/>
          <w:color w:val="B29669"/>
        </w:rPr>
        <w:t xml:space="preserve">Appendix </w:t>
      </w:r>
      <w:r>
        <w:rPr>
          <w:rFonts w:ascii="Poppins" w:hAnsi="Poppins" w:cs="Poppins"/>
          <w:color w:val="B29669"/>
        </w:rPr>
        <w:t xml:space="preserve">– </w:t>
      </w:r>
      <w:proofErr w:type="spellStart"/>
      <w:r>
        <w:rPr>
          <w:rFonts w:ascii="Poppins" w:hAnsi="Poppins" w:cs="Poppins"/>
          <w:color w:val="B29669"/>
        </w:rPr>
        <w:t>i</w:t>
      </w:r>
      <w:proofErr w:type="spellEnd"/>
      <w:r>
        <w:rPr>
          <w:rFonts w:ascii="Poppins" w:hAnsi="Poppins" w:cs="Poppins"/>
          <w:color w:val="B29669"/>
        </w:rPr>
        <w:t xml:space="preserve">  </w:t>
      </w:r>
    </w:p>
    <w:p w14:paraId="027E99EE" w14:textId="53D2413C" w:rsidR="00B478BA" w:rsidRDefault="00B478BA" w:rsidP="00474807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Should a couple, such as husband and wife, wish to do business, </w:t>
      </w:r>
      <w:r w:rsidR="006A0A4F">
        <w:rPr>
          <w:rFonts w:ascii="Poppins" w:hAnsi="Poppins" w:cs="Poppins"/>
          <w:sz w:val="20"/>
          <w:szCs w:val="20"/>
        </w:rPr>
        <w:t>in relation to</w:t>
      </w:r>
      <w:r>
        <w:rPr>
          <w:rFonts w:ascii="Poppins" w:hAnsi="Poppins" w:cs="Poppins"/>
          <w:sz w:val="20"/>
          <w:szCs w:val="20"/>
        </w:rPr>
        <w:t xml:space="preserve"> pension transfers, then this will incur 2 X the 1 plan fee as it is two separate pieces of business. For each additional plan it is the additional plan price.</w:t>
      </w:r>
      <w:r w:rsidR="00487671">
        <w:rPr>
          <w:rFonts w:ascii="Poppins" w:hAnsi="Poppins" w:cs="Poppins"/>
          <w:sz w:val="20"/>
          <w:szCs w:val="20"/>
        </w:rPr>
        <w:t xml:space="preserve"> For Investment or other business, it is one cost, as these can be written under one SL. </w:t>
      </w:r>
    </w:p>
    <w:p w14:paraId="7C304408" w14:textId="77777777" w:rsidR="00B478BA" w:rsidRDefault="00B478BA" w:rsidP="00474807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Full case includes CYC, Illustration &amp; Suitability Letter. </w:t>
      </w:r>
    </w:p>
    <w:p w14:paraId="5CE3BD2E" w14:textId="1955A919" w:rsidR="00B478BA" w:rsidRDefault="00B478BA" w:rsidP="00474807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All cases include a CFR check as standard, as well as checking any relevant ceding information from providers. </w:t>
      </w:r>
    </w:p>
    <w:p w14:paraId="2E61F03D" w14:textId="77777777" w:rsidR="00B478BA" w:rsidRDefault="00B478BA" w:rsidP="00474807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Data gathering is charged at £30 per plan, as stated below in the Practice Support Prices. </w:t>
      </w:r>
    </w:p>
    <w:p w14:paraId="7CD6BE8F" w14:textId="77777777" w:rsidR="00B478BA" w:rsidRDefault="00B478BA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br w:type="page"/>
      </w:r>
    </w:p>
    <w:p w14:paraId="021164F9" w14:textId="77777777" w:rsidR="00B478BA" w:rsidRDefault="00B478BA" w:rsidP="00474807">
      <w:pPr>
        <w:jc w:val="both"/>
        <w:rPr>
          <w:rFonts w:ascii="Poppins SemiBold" w:hAnsi="Poppins SemiBold" w:cs="Poppins SemiBold"/>
        </w:rPr>
      </w:pPr>
      <w:r>
        <w:rPr>
          <w:rFonts w:ascii="Poppins SemiBold" w:hAnsi="Poppins SemiBold" w:cs="Poppins SemiBold"/>
        </w:rPr>
        <w:lastRenderedPageBreak/>
        <w:t xml:space="preserve">Practice Support </w:t>
      </w:r>
    </w:p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101"/>
        <w:gridCol w:w="3402"/>
      </w:tblGrid>
      <w:tr w:rsidR="00B478BA" w:rsidRPr="001178A6" w14:paraId="21F541D0" w14:textId="77777777" w:rsidTr="00B478BA">
        <w:trPr>
          <w:cantSplit/>
          <w:trHeight w:val="581"/>
        </w:trPr>
        <w:tc>
          <w:tcPr>
            <w:tcW w:w="6101" w:type="dxa"/>
            <w:vAlign w:val="center"/>
          </w:tcPr>
          <w:p w14:paraId="6AE68EF1" w14:textId="5DACED7B" w:rsidR="00B478BA" w:rsidRPr="00AE5B3C" w:rsidRDefault="00B478BA" w:rsidP="00925F59">
            <w:pPr>
              <w:jc w:val="both"/>
              <w:rPr>
                <w:rFonts w:ascii="Poppins SemiBold" w:hAnsi="Poppins SemiBold" w:cs="Poppins SemiBold"/>
                <w:color w:val="B29669"/>
              </w:rPr>
            </w:pPr>
            <w:r>
              <w:rPr>
                <w:rFonts w:ascii="Poppins SemiBold" w:hAnsi="Poppins SemiBold" w:cs="Poppins SemiBold"/>
                <w:color w:val="B29669"/>
              </w:rPr>
              <w:t xml:space="preserve">Review Letters </w:t>
            </w:r>
          </w:p>
        </w:tc>
        <w:tc>
          <w:tcPr>
            <w:tcW w:w="3402" w:type="dxa"/>
            <w:vAlign w:val="center"/>
          </w:tcPr>
          <w:p w14:paraId="2A06B2B5" w14:textId="77777777" w:rsidR="00B478BA" w:rsidRPr="001178A6" w:rsidRDefault="00B478BA" w:rsidP="00925F59">
            <w:pPr>
              <w:jc w:val="center"/>
              <w:rPr>
                <w:rFonts w:ascii="Poppins SemiBold" w:hAnsi="Poppins SemiBold" w:cs="Poppins SemiBold"/>
              </w:rPr>
            </w:pPr>
            <w:r w:rsidRPr="001178A6">
              <w:rPr>
                <w:rFonts w:ascii="Poppins SemiBold" w:hAnsi="Poppins SemiBold" w:cs="Poppins SemiBold"/>
              </w:rPr>
              <w:t>1 Plan</w:t>
            </w:r>
          </w:p>
        </w:tc>
      </w:tr>
      <w:tr w:rsidR="00B478BA" w:rsidRPr="001178A6" w14:paraId="751026D6" w14:textId="77777777" w:rsidTr="00B478BA">
        <w:trPr>
          <w:cantSplit/>
          <w:trHeight w:val="561"/>
        </w:trPr>
        <w:tc>
          <w:tcPr>
            <w:tcW w:w="6101" w:type="dxa"/>
            <w:vAlign w:val="center"/>
          </w:tcPr>
          <w:p w14:paraId="58EA8D6C" w14:textId="2672A2A9" w:rsidR="00B478BA" w:rsidRPr="00AE5B3C" w:rsidRDefault="00B478BA" w:rsidP="00925F59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Drawdown Review – No Changes/No Income </w:t>
            </w:r>
          </w:p>
        </w:tc>
        <w:tc>
          <w:tcPr>
            <w:tcW w:w="3402" w:type="dxa"/>
            <w:vAlign w:val="center"/>
          </w:tcPr>
          <w:p w14:paraId="39403F4D" w14:textId="738B29E2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</w:t>
            </w:r>
            <w:r w:rsidR="00090539">
              <w:rPr>
                <w:rFonts w:ascii="Poppins" w:hAnsi="Poppins" w:cs="Poppins"/>
                <w:sz w:val="22"/>
                <w:szCs w:val="22"/>
              </w:rPr>
              <w:t>80</w:t>
            </w:r>
          </w:p>
        </w:tc>
      </w:tr>
      <w:tr w:rsidR="00B478BA" w:rsidRPr="001178A6" w14:paraId="14EE9048" w14:textId="77777777" w:rsidTr="00B478BA">
        <w:trPr>
          <w:cantSplit/>
          <w:trHeight w:val="561"/>
        </w:trPr>
        <w:tc>
          <w:tcPr>
            <w:tcW w:w="6101" w:type="dxa"/>
            <w:vAlign w:val="center"/>
          </w:tcPr>
          <w:p w14:paraId="07AEC679" w14:textId="5FEBDC7E" w:rsidR="00B478BA" w:rsidRPr="00AE5B3C" w:rsidRDefault="00B478BA" w:rsidP="00925F59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Drawdown Review – Income</w:t>
            </w:r>
          </w:p>
        </w:tc>
        <w:tc>
          <w:tcPr>
            <w:tcW w:w="3402" w:type="dxa"/>
            <w:vAlign w:val="center"/>
          </w:tcPr>
          <w:p w14:paraId="5700C4A1" w14:textId="11C44826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£1</w:t>
            </w:r>
            <w:r w:rsidR="00090539">
              <w:rPr>
                <w:rFonts w:ascii="Poppins" w:hAnsi="Poppins" w:cs="Poppins"/>
                <w:sz w:val="22"/>
                <w:szCs w:val="22"/>
              </w:rPr>
              <w:t>50</w:t>
            </w:r>
          </w:p>
        </w:tc>
      </w:tr>
      <w:tr w:rsidR="00B478BA" w:rsidRPr="001178A6" w14:paraId="77A750B4" w14:textId="77777777" w:rsidTr="00B478BA">
        <w:trPr>
          <w:cantSplit/>
          <w:trHeight w:val="561"/>
        </w:trPr>
        <w:tc>
          <w:tcPr>
            <w:tcW w:w="6101" w:type="dxa"/>
            <w:vAlign w:val="center"/>
          </w:tcPr>
          <w:p w14:paraId="1F21C804" w14:textId="09B5D98C" w:rsidR="00B478BA" w:rsidRDefault="00B478BA" w:rsidP="00925F59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Annual Review Letter</w:t>
            </w:r>
          </w:p>
        </w:tc>
        <w:tc>
          <w:tcPr>
            <w:tcW w:w="3402" w:type="dxa"/>
            <w:vAlign w:val="center"/>
          </w:tcPr>
          <w:p w14:paraId="6E02FB38" w14:textId="3430C83F" w:rsidR="00B478BA" w:rsidRPr="00AE5B3C" w:rsidRDefault="00B478BA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</w:t>
            </w:r>
            <w:r w:rsidR="00090539">
              <w:rPr>
                <w:rFonts w:ascii="Poppins" w:hAnsi="Poppins" w:cs="Poppins"/>
                <w:sz w:val="22"/>
                <w:szCs w:val="22"/>
              </w:rPr>
              <w:t>3</w:t>
            </w:r>
            <w:r>
              <w:rPr>
                <w:rFonts w:ascii="Poppins" w:hAnsi="Poppins" w:cs="Poppins"/>
                <w:sz w:val="22"/>
                <w:szCs w:val="22"/>
              </w:rPr>
              <w:t>0</w:t>
            </w:r>
          </w:p>
        </w:tc>
      </w:tr>
      <w:tr w:rsidR="00B478BA" w:rsidRPr="001178A6" w14:paraId="0561E2FC" w14:textId="77777777" w:rsidTr="00B478BA">
        <w:trPr>
          <w:cantSplit/>
          <w:trHeight w:val="561"/>
        </w:trPr>
        <w:tc>
          <w:tcPr>
            <w:tcW w:w="6101" w:type="dxa"/>
            <w:vAlign w:val="center"/>
          </w:tcPr>
          <w:p w14:paraId="68D00505" w14:textId="18CC849B" w:rsidR="00B478BA" w:rsidRDefault="00090539" w:rsidP="00925F59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Fund Switch Letter </w:t>
            </w:r>
          </w:p>
        </w:tc>
        <w:tc>
          <w:tcPr>
            <w:tcW w:w="3402" w:type="dxa"/>
            <w:vAlign w:val="center"/>
          </w:tcPr>
          <w:p w14:paraId="0F5D85EF" w14:textId="00F9A3E8" w:rsidR="00B478BA" w:rsidRDefault="00090539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£30</w:t>
            </w:r>
          </w:p>
        </w:tc>
      </w:tr>
      <w:tr w:rsidR="00090539" w:rsidRPr="001178A6" w14:paraId="65832102" w14:textId="77777777" w:rsidTr="00B478BA">
        <w:trPr>
          <w:cantSplit/>
          <w:trHeight w:val="561"/>
        </w:trPr>
        <w:tc>
          <w:tcPr>
            <w:tcW w:w="6101" w:type="dxa"/>
            <w:vAlign w:val="center"/>
          </w:tcPr>
          <w:p w14:paraId="383F0D33" w14:textId="77777777" w:rsidR="00090539" w:rsidRDefault="00090539" w:rsidP="00925F5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5EA386A" w14:textId="77777777" w:rsidR="00090539" w:rsidRDefault="00090539" w:rsidP="00925F59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90539" w:rsidRPr="001178A6" w14:paraId="3034265F" w14:textId="77777777" w:rsidTr="00B478BA">
        <w:trPr>
          <w:cantSplit/>
          <w:trHeight w:val="561"/>
        </w:trPr>
        <w:tc>
          <w:tcPr>
            <w:tcW w:w="6101" w:type="dxa"/>
            <w:vAlign w:val="center"/>
          </w:tcPr>
          <w:p w14:paraId="585E1BC1" w14:textId="777ADC0F" w:rsidR="00090539" w:rsidRPr="00090539" w:rsidRDefault="00090539" w:rsidP="00925F59">
            <w:pPr>
              <w:rPr>
                <w:rFonts w:ascii="Poppins SemiBold" w:hAnsi="Poppins SemiBold" w:cs="Poppins SemiBold"/>
                <w:color w:val="B29669"/>
                <w:sz w:val="22"/>
                <w:szCs w:val="22"/>
              </w:rPr>
            </w:pPr>
            <w:r w:rsidRPr="00090539">
              <w:rPr>
                <w:rFonts w:ascii="Poppins SemiBold" w:hAnsi="Poppins SemiBold" w:cs="Poppins SemiBold"/>
                <w:color w:val="B29669"/>
              </w:rPr>
              <w:t>Miscellaneous Support</w:t>
            </w:r>
          </w:p>
        </w:tc>
        <w:tc>
          <w:tcPr>
            <w:tcW w:w="3402" w:type="dxa"/>
            <w:vAlign w:val="center"/>
          </w:tcPr>
          <w:p w14:paraId="2D5BA776" w14:textId="7D3FFF40" w:rsidR="00090539" w:rsidRPr="00090539" w:rsidRDefault="00090539" w:rsidP="00925F59">
            <w:pPr>
              <w:jc w:val="center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1 Plan</w:t>
            </w:r>
          </w:p>
        </w:tc>
      </w:tr>
      <w:tr w:rsidR="00090539" w:rsidRPr="001178A6" w14:paraId="17CBA813" w14:textId="77777777" w:rsidTr="00B478BA">
        <w:trPr>
          <w:cantSplit/>
          <w:trHeight w:val="561"/>
        </w:trPr>
        <w:tc>
          <w:tcPr>
            <w:tcW w:w="6101" w:type="dxa"/>
            <w:vAlign w:val="center"/>
          </w:tcPr>
          <w:p w14:paraId="1154E98C" w14:textId="29CFE3D1" w:rsidR="00090539" w:rsidRPr="00090539" w:rsidRDefault="00090539" w:rsidP="00925F59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Data Gathering </w:t>
            </w:r>
          </w:p>
        </w:tc>
        <w:tc>
          <w:tcPr>
            <w:tcW w:w="3402" w:type="dxa"/>
            <w:vAlign w:val="center"/>
          </w:tcPr>
          <w:p w14:paraId="01904C4C" w14:textId="70FFA5B9" w:rsidR="00090539" w:rsidRPr="00090539" w:rsidRDefault="00090539" w:rsidP="00925F59">
            <w:pPr>
              <w:jc w:val="center"/>
              <w:rPr>
                <w:rFonts w:ascii="Poppins" w:hAnsi="Poppins" w:cs="Poppins"/>
              </w:rPr>
            </w:pPr>
            <w:r w:rsidRPr="00090539">
              <w:rPr>
                <w:rFonts w:ascii="Poppins" w:hAnsi="Poppins" w:cs="Poppins"/>
                <w:sz w:val="22"/>
                <w:szCs w:val="22"/>
              </w:rPr>
              <w:t>£30</w:t>
            </w:r>
          </w:p>
        </w:tc>
      </w:tr>
    </w:tbl>
    <w:p w14:paraId="7224106F" w14:textId="77777777" w:rsidR="00090539" w:rsidRDefault="00090539" w:rsidP="00474807">
      <w:pPr>
        <w:jc w:val="both"/>
        <w:rPr>
          <w:rFonts w:ascii="Poppins" w:hAnsi="Poppins" w:cs="Poppins"/>
          <w:sz w:val="20"/>
          <w:szCs w:val="20"/>
        </w:rPr>
      </w:pPr>
    </w:p>
    <w:p w14:paraId="27E0D0EC" w14:textId="77777777" w:rsidR="00090539" w:rsidRDefault="00090539" w:rsidP="00474807">
      <w:pPr>
        <w:jc w:val="both"/>
        <w:rPr>
          <w:rFonts w:ascii="Poppins" w:hAnsi="Poppins" w:cs="Poppins"/>
          <w:color w:val="B29669"/>
        </w:rPr>
      </w:pPr>
      <w:r>
        <w:rPr>
          <w:rFonts w:ascii="Poppins" w:hAnsi="Poppins" w:cs="Poppins"/>
          <w:color w:val="B29669"/>
        </w:rPr>
        <w:t xml:space="preserve">Appendix – ii </w:t>
      </w:r>
    </w:p>
    <w:p w14:paraId="3F34D2AC" w14:textId="77777777" w:rsidR="00090539" w:rsidRDefault="00090539" w:rsidP="00474807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Annual Review letters are subject to discount based on the amount sent per calendar month. The discount is applied as follows:</w:t>
      </w:r>
    </w:p>
    <w:p w14:paraId="76A41259" w14:textId="77777777" w:rsidR="00090539" w:rsidRDefault="00090539" w:rsidP="00090539">
      <w:pPr>
        <w:pStyle w:val="ListParagraph"/>
        <w:numPr>
          <w:ilvl w:val="0"/>
          <w:numId w:val="3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Less than 10 letters – No discount</w:t>
      </w:r>
    </w:p>
    <w:p w14:paraId="5B09F3CC" w14:textId="77777777" w:rsidR="00090539" w:rsidRDefault="00090539" w:rsidP="00090539">
      <w:pPr>
        <w:pStyle w:val="ListParagraph"/>
        <w:numPr>
          <w:ilvl w:val="0"/>
          <w:numId w:val="3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10 – 20 letters – 10% per letter</w:t>
      </w:r>
    </w:p>
    <w:p w14:paraId="78290C4B" w14:textId="389F98AC" w:rsidR="00090539" w:rsidRDefault="00090539" w:rsidP="00090539">
      <w:pPr>
        <w:pStyle w:val="ListParagraph"/>
        <w:numPr>
          <w:ilvl w:val="0"/>
          <w:numId w:val="3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20 or more letters – 20% per letter </w:t>
      </w:r>
      <w:r w:rsidRPr="00090539">
        <w:rPr>
          <w:rFonts w:ascii="Poppins" w:hAnsi="Poppins" w:cs="Poppins"/>
          <w:sz w:val="20"/>
          <w:szCs w:val="20"/>
        </w:rPr>
        <w:tab/>
      </w:r>
    </w:p>
    <w:p w14:paraId="49406484" w14:textId="5E50DD93" w:rsidR="00090539" w:rsidRDefault="00090539" w:rsidP="00090539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if </w:t>
      </w:r>
      <w:r w:rsidR="00AF50D9">
        <w:rPr>
          <w:rFonts w:ascii="Poppins" w:hAnsi="Poppins" w:cs="Poppins"/>
          <w:sz w:val="20"/>
          <w:szCs w:val="20"/>
        </w:rPr>
        <w:t xml:space="preserve">the fund switch is a </w:t>
      </w:r>
      <w:r w:rsidR="00CF10AF">
        <w:rPr>
          <w:rFonts w:ascii="Poppins" w:hAnsi="Poppins" w:cs="Poppins"/>
          <w:sz w:val="20"/>
          <w:szCs w:val="20"/>
        </w:rPr>
        <w:t>standalone</w:t>
      </w:r>
      <w:r>
        <w:rPr>
          <w:rFonts w:ascii="Poppins" w:hAnsi="Poppins" w:cs="Poppins"/>
          <w:sz w:val="20"/>
          <w:szCs w:val="20"/>
        </w:rPr>
        <w:t xml:space="preserve"> ad hoc letter</w:t>
      </w:r>
      <w:r w:rsidR="00AF50D9">
        <w:rPr>
          <w:rFonts w:ascii="Poppins" w:hAnsi="Poppins" w:cs="Poppins"/>
          <w:sz w:val="20"/>
          <w:szCs w:val="20"/>
        </w:rPr>
        <w:t>, this is charged at £30 per letter</w:t>
      </w:r>
      <w:r>
        <w:rPr>
          <w:rFonts w:ascii="Poppins" w:hAnsi="Poppins" w:cs="Poppins"/>
          <w:sz w:val="20"/>
          <w:szCs w:val="20"/>
        </w:rPr>
        <w:t>. If</w:t>
      </w:r>
      <w:r w:rsidR="00AF50D9">
        <w:rPr>
          <w:rFonts w:ascii="Poppins" w:hAnsi="Poppins" w:cs="Poppins"/>
          <w:sz w:val="20"/>
          <w:szCs w:val="20"/>
        </w:rPr>
        <w:t xml:space="preserve"> a fund switch is the result of an annual </w:t>
      </w:r>
      <w:r w:rsidR="006A0A4F">
        <w:rPr>
          <w:rFonts w:ascii="Poppins" w:hAnsi="Poppins" w:cs="Poppins"/>
          <w:sz w:val="20"/>
          <w:szCs w:val="20"/>
        </w:rPr>
        <w:t>review,</w:t>
      </w:r>
      <w:r w:rsidR="00AF50D9">
        <w:rPr>
          <w:rFonts w:ascii="Poppins" w:hAnsi="Poppins" w:cs="Poppins"/>
          <w:sz w:val="20"/>
          <w:szCs w:val="20"/>
        </w:rPr>
        <w:t xml:space="preserve"> then it is</w:t>
      </w:r>
      <w:r>
        <w:rPr>
          <w:rFonts w:ascii="Poppins" w:hAnsi="Poppins" w:cs="Poppins"/>
          <w:sz w:val="20"/>
          <w:szCs w:val="20"/>
        </w:rPr>
        <w:t xml:space="preserve"> included in the annual </w:t>
      </w:r>
      <w:r w:rsidR="0048258E">
        <w:rPr>
          <w:rFonts w:ascii="Poppins" w:hAnsi="Poppins" w:cs="Poppins"/>
          <w:sz w:val="20"/>
          <w:szCs w:val="20"/>
        </w:rPr>
        <w:t>review</w:t>
      </w:r>
      <w:r w:rsidR="00AF50D9">
        <w:rPr>
          <w:rFonts w:ascii="Poppins" w:hAnsi="Poppins" w:cs="Poppins"/>
          <w:sz w:val="20"/>
          <w:szCs w:val="20"/>
        </w:rPr>
        <w:t xml:space="preserve"> letter </w:t>
      </w:r>
      <w:r>
        <w:rPr>
          <w:rFonts w:ascii="Poppins" w:hAnsi="Poppins" w:cs="Poppins"/>
          <w:sz w:val="20"/>
          <w:szCs w:val="20"/>
        </w:rPr>
        <w:t>an</w:t>
      </w:r>
      <w:r w:rsidR="00AF50D9">
        <w:rPr>
          <w:rFonts w:ascii="Poppins" w:hAnsi="Poppins" w:cs="Poppins"/>
          <w:sz w:val="20"/>
          <w:szCs w:val="20"/>
        </w:rPr>
        <w:t>d an</w:t>
      </w:r>
      <w:r>
        <w:rPr>
          <w:rFonts w:ascii="Poppins" w:hAnsi="Poppins" w:cs="Poppins"/>
          <w:sz w:val="20"/>
          <w:szCs w:val="20"/>
        </w:rPr>
        <w:t xml:space="preserve"> additional £15 is added onto the annual review letter cost. </w:t>
      </w:r>
    </w:p>
    <w:p w14:paraId="0DCC4413" w14:textId="7849DF59" w:rsidR="0048258E" w:rsidRPr="00090539" w:rsidRDefault="0048258E" w:rsidP="00090539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Couples do not incur a dual charge on an annual review.</w:t>
      </w:r>
    </w:p>
    <w:sectPr w:rsidR="0048258E" w:rsidRPr="00090539" w:rsidSect="004748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D2DD9" w14:textId="77777777" w:rsidR="00F77CF7" w:rsidRDefault="00F77CF7" w:rsidP="00425BFD">
      <w:pPr>
        <w:spacing w:after="0" w:line="240" w:lineRule="auto"/>
      </w:pPr>
      <w:r>
        <w:separator/>
      </w:r>
    </w:p>
  </w:endnote>
  <w:endnote w:type="continuationSeparator" w:id="0">
    <w:p w14:paraId="3CE74D65" w14:textId="77777777" w:rsidR="00F77CF7" w:rsidRDefault="00F77CF7" w:rsidP="00425BFD">
      <w:pPr>
        <w:spacing w:after="0" w:line="240" w:lineRule="auto"/>
      </w:pPr>
      <w:r>
        <w:continuationSeparator/>
      </w:r>
    </w:p>
  </w:endnote>
  <w:endnote w:type="continuationNotice" w:id="1">
    <w:p w14:paraId="2519A937" w14:textId="77777777" w:rsidR="00F77CF7" w:rsidRDefault="00F77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5494" w14:textId="77777777" w:rsidR="00A1393E" w:rsidRDefault="00A13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580F" w14:textId="77777777" w:rsidR="00A1393E" w:rsidRDefault="00A13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4342" w14:textId="1383AF61" w:rsidR="00A1393E" w:rsidRPr="00A1393E" w:rsidRDefault="00A1393E" w:rsidP="00A1393E">
    <w:pPr>
      <w:pStyle w:val="Footer"/>
      <w:jc w:val="center"/>
      <w:rPr>
        <w:rFonts w:ascii="Poppins" w:hAnsi="Poppins" w:cs="Poppins"/>
        <w:sz w:val="20"/>
        <w:szCs w:val="20"/>
      </w:rPr>
    </w:pPr>
    <w:r w:rsidRPr="00A1393E">
      <w:rPr>
        <w:rFonts w:ascii="Poppins" w:hAnsi="Poppins" w:cs="Poppins"/>
        <w:sz w:val="20"/>
        <w:szCs w:val="20"/>
      </w:rPr>
      <w:t xml:space="preserve">Email: </w:t>
    </w:r>
    <w:hyperlink r:id="rId1" w:history="1">
      <w:r w:rsidRPr="00A1393E">
        <w:rPr>
          <w:rStyle w:val="Hyperlink"/>
          <w:rFonts w:ascii="Poppins" w:hAnsi="Poppins" w:cs="Poppins"/>
          <w:sz w:val="20"/>
          <w:szCs w:val="20"/>
        </w:rPr>
        <w:t>Sam.woolnough@sjpp.co.uk</w:t>
      </w:r>
    </w:hyperlink>
    <w:r w:rsidRPr="00A1393E">
      <w:rPr>
        <w:rFonts w:ascii="Poppins" w:hAnsi="Poppins" w:cs="Poppins"/>
        <w:sz w:val="20"/>
        <w:szCs w:val="20"/>
      </w:rPr>
      <w:t xml:space="preserve"> </w:t>
    </w:r>
  </w:p>
  <w:p w14:paraId="1B5889A8" w14:textId="77777777" w:rsidR="00A1393E" w:rsidRPr="00A1393E" w:rsidRDefault="00A1393E" w:rsidP="00A1393E">
    <w:pPr>
      <w:pStyle w:val="Footer"/>
      <w:jc w:val="center"/>
      <w:rPr>
        <w:rFonts w:ascii="Poppins" w:hAnsi="Poppins" w:cs="Poppins"/>
        <w:sz w:val="20"/>
        <w:szCs w:val="20"/>
      </w:rPr>
    </w:pPr>
    <w:r w:rsidRPr="00A1393E">
      <w:rPr>
        <w:rFonts w:ascii="Poppins" w:hAnsi="Poppins" w:cs="Poppins"/>
        <w:sz w:val="20"/>
        <w:szCs w:val="20"/>
      </w:rPr>
      <w:t>Phone: 07500 945213</w:t>
    </w:r>
  </w:p>
  <w:p w14:paraId="0B13B5BC" w14:textId="72E5715D" w:rsidR="00A1393E" w:rsidRPr="00A1393E" w:rsidRDefault="00A1393E" w:rsidP="00A1393E">
    <w:pPr>
      <w:pStyle w:val="Footer"/>
      <w:jc w:val="center"/>
      <w:rPr>
        <w:rFonts w:ascii="Poppins" w:hAnsi="Poppins" w:cs="Poppins"/>
        <w:sz w:val="20"/>
        <w:szCs w:val="20"/>
      </w:rPr>
    </w:pPr>
    <w:r w:rsidRPr="00A1393E">
      <w:rPr>
        <w:rFonts w:ascii="Poppins" w:hAnsi="Poppins" w:cs="Poppins"/>
        <w:sz w:val="20"/>
        <w:szCs w:val="20"/>
      </w:rPr>
      <w:t xml:space="preserve">Web: www.aeternusparaplanning.co.uk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BAEC" w14:textId="77777777" w:rsidR="00F77CF7" w:rsidRDefault="00F77CF7" w:rsidP="00425BFD">
      <w:pPr>
        <w:spacing w:after="0" w:line="240" w:lineRule="auto"/>
      </w:pPr>
      <w:r>
        <w:separator/>
      </w:r>
    </w:p>
  </w:footnote>
  <w:footnote w:type="continuationSeparator" w:id="0">
    <w:p w14:paraId="208EEEBE" w14:textId="77777777" w:rsidR="00F77CF7" w:rsidRDefault="00F77CF7" w:rsidP="00425BFD">
      <w:pPr>
        <w:spacing w:after="0" w:line="240" w:lineRule="auto"/>
      </w:pPr>
      <w:r>
        <w:continuationSeparator/>
      </w:r>
    </w:p>
  </w:footnote>
  <w:footnote w:type="continuationNotice" w:id="1">
    <w:p w14:paraId="4168ADAF" w14:textId="77777777" w:rsidR="00F77CF7" w:rsidRDefault="00F77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887A" w14:textId="77777777" w:rsidR="00A1393E" w:rsidRDefault="00A13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F7A4" w14:textId="77777777" w:rsidR="00425BFD" w:rsidRDefault="00425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354B" w14:textId="05DB581E" w:rsidR="00474807" w:rsidRPr="00A1393E" w:rsidRDefault="00A1393E" w:rsidP="00474807">
    <w:pPr>
      <w:pStyle w:val="Header"/>
      <w:tabs>
        <w:tab w:val="left" w:pos="7440"/>
        <w:tab w:val="right" w:pos="10466"/>
      </w:tabs>
      <w:rPr>
        <w:sz w:val="22"/>
        <w:szCs w:val="22"/>
      </w:rPr>
    </w:pPr>
    <w:r>
      <w:rPr>
        <w:rFonts w:ascii="Poppins" w:hAnsi="Poppins" w:cs="Poppins"/>
        <w:sz w:val="22"/>
        <w:szCs w:val="22"/>
      </w:rPr>
      <w:tab/>
      <w:t xml:space="preserve">             </w:t>
    </w:r>
  </w:p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4106"/>
      <w:gridCol w:w="5052"/>
    </w:tblGrid>
    <w:tr w:rsidR="00474807" w14:paraId="468963EC" w14:textId="77777777" w:rsidTr="001178A6">
      <w:trPr>
        <w:trHeight w:val="1701"/>
      </w:trPr>
      <w:tc>
        <w:tcPr>
          <w:tcW w:w="4106" w:type="dxa"/>
        </w:tcPr>
        <w:p w14:paraId="6F4C7E57" w14:textId="77777777" w:rsidR="001178A6" w:rsidRDefault="001178A6" w:rsidP="001178A6">
          <w:pPr>
            <w:pStyle w:val="Header"/>
            <w:tabs>
              <w:tab w:val="left" w:pos="7440"/>
              <w:tab w:val="right" w:pos="10466"/>
            </w:tabs>
            <w:jc w:val="both"/>
            <w:rPr>
              <w:rFonts w:ascii="Poppins" w:hAnsi="Poppins" w:cs="Poppins"/>
              <w:sz w:val="22"/>
              <w:szCs w:val="22"/>
            </w:rPr>
          </w:pPr>
        </w:p>
        <w:p w14:paraId="75043C22" w14:textId="07F014FB" w:rsidR="00474807" w:rsidRDefault="001178A6" w:rsidP="001178A6">
          <w:pPr>
            <w:pStyle w:val="Header"/>
            <w:tabs>
              <w:tab w:val="left" w:pos="7440"/>
              <w:tab w:val="right" w:pos="10466"/>
            </w:tabs>
            <w:jc w:val="both"/>
            <w:rPr>
              <w:rFonts w:ascii="Poppins" w:hAnsi="Poppins" w:cs="Poppins"/>
              <w:sz w:val="22"/>
              <w:szCs w:val="22"/>
            </w:rPr>
          </w:pPr>
          <w:r>
            <w:rPr>
              <w:rFonts w:ascii="Poppins" w:hAnsi="Poppins" w:cs="Poppins"/>
              <w:sz w:val="22"/>
              <w:szCs w:val="22"/>
            </w:rPr>
            <w:t xml:space="preserve">Price list </w:t>
          </w:r>
        </w:p>
        <w:p w14:paraId="24FFF1C1" w14:textId="77777777" w:rsidR="001178A6" w:rsidRDefault="001178A6" w:rsidP="001178A6">
          <w:pPr>
            <w:pStyle w:val="Header"/>
            <w:tabs>
              <w:tab w:val="left" w:pos="7440"/>
              <w:tab w:val="right" w:pos="10466"/>
            </w:tabs>
            <w:jc w:val="both"/>
            <w:rPr>
              <w:rFonts w:ascii="Poppins" w:hAnsi="Poppins" w:cs="Poppins"/>
              <w:sz w:val="22"/>
              <w:szCs w:val="22"/>
            </w:rPr>
          </w:pPr>
        </w:p>
        <w:p w14:paraId="5B73FED9" w14:textId="78FA2D01" w:rsidR="001178A6" w:rsidRPr="001178A6" w:rsidRDefault="001178A6" w:rsidP="001178A6">
          <w:pPr>
            <w:pStyle w:val="Header"/>
            <w:tabs>
              <w:tab w:val="left" w:pos="7440"/>
              <w:tab w:val="right" w:pos="10466"/>
            </w:tabs>
            <w:jc w:val="both"/>
            <w:rPr>
              <w:rFonts w:ascii="Poppins" w:hAnsi="Poppins" w:cs="Poppins"/>
            </w:rPr>
          </w:pPr>
          <w:r w:rsidRPr="001178A6">
            <w:rPr>
              <w:rFonts w:ascii="Poppins SemiBold" w:hAnsi="Poppins SemiBold" w:cs="Poppins SemiBold"/>
            </w:rPr>
            <w:t>Paraplanning</w:t>
          </w:r>
          <w:r>
            <w:rPr>
              <w:rFonts w:ascii="Poppins" w:hAnsi="Poppins" w:cs="Poppins"/>
            </w:rPr>
            <w:t xml:space="preserve"> </w:t>
          </w:r>
          <w:r w:rsidRPr="001178A6">
            <w:rPr>
              <w:rFonts w:ascii="Poppins" w:hAnsi="Poppins" w:cs="Poppins"/>
              <w:color w:val="B29669"/>
            </w:rPr>
            <w:t>Support</w:t>
          </w:r>
        </w:p>
        <w:p w14:paraId="6A0D205D" w14:textId="33F8EA97" w:rsidR="001178A6" w:rsidRPr="001178A6" w:rsidRDefault="001178A6" w:rsidP="001178A6">
          <w:pPr>
            <w:pStyle w:val="Header"/>
            <w:tabs>
              <w:tab w:val="left" w:pos="7440"/>
              <w:tab w:val="right" w:pos="10466"/>
            </w:tabs>
            <w:jc w:val="both"/>
            <w:rPr>
              <w:rFonts w:ascii="Poppins" w:hAnsi="Poppins" w:cs="Poppins"/>
              <w:sz w:val="22"/>
              <w:szCs w:val="22"/>
            </w:rPr>
          </w:pPr>
        </w:p>
      </w:tc>
      <w:tc>
        <w:tcPr>
          <w:tcW w:w="5052" w:type="dxa"/>
          <w:tcBorders>
            <w:bottom w:val="single" w:sz="4" w:space="0" w:color="B29669"/>
          </w:tcBorders>
        </w:tcPr>
        <w:p w14:paraId="149F83A1" w14:textId="20814228" w:rsidR="001178A6" w:rsidRPr="00474807" w:rsidRDefault="001178A6" w:rsidP="001178A6">
          <w:pPr>
            <w:pStyle w:val="Header"/>
            <w:tabs>
              <w:tab w:val="left" w:pos="7440"/>
              <w:tab w:val="right" w:pos="10466"/>
            </w:tabs>
            <w:rPr>
              <w:rFonts w:ascii="Poppins" w:hAnsi="Poppins" w:cs="Poppins"/>
              <w:sz w:val="20"/>
              <w:szCs w:val="20"/>
            </w:rPr>
          </w:pPr>
          <w:r w:rsidRPr="00A1393E"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4AE9A48B" wp14:editId="606F3F7E">
                <wp:simplePos x="0" y="0"/>
                <wp:positionH relativeFrom="column">
                  <wp:posOffset>323850</wp:posOffset>
                </wp:positionH>
                <wp:positionV relativeFrom="paragraph">
                  <wp:posOffset>70761</wp:posOffset>
                </wp:positionV>
                <wp:extent cx="2823210" cy="890270"/>
                <wp:effectExtent l="0" t="0" r="0" b="5080"/>
                <wp:wrapNone/>
                <wp:docPr id="252470419" name="Picture 10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4001988" name="Picture 10" descr="A logo for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93" t="23751" r="17275" b="23001"/>
                        <a:stretch/>
                      </pic:blipFill>
                      <pic:spPr bwMode="auto">
                        <a:xfrm>
                          <a:off x="0" y="0"/>
                          <a:ext cx="282321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31E754C8" w14:textId="782DFAF1" w:rsidR="00A1393E" w:rsidRDefault="00A13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C1A2A"/>
    <w:multiLevelType w:val="hybridMultilevel"/>
    <w:tmpl w:val="F542A544"/>
    <w:lvl w:ilvl="0" w:tplc="E4B470B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DF5"/>
    <w:multiLevelType w:val="hybridMultilevel"/>
    <w:tmpl w:val="3BD6F00C"/>
    <w:lvl w:ilvl="0" w:tplc="4E26820A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853CC"/>
    <w:multiLevelType w:val="hybridMultilevel"/>
    <w:tmpl w:val="C4240DD4"/>
    <w:lvl w:ilvl="0" w:tplc="AFC47E1C">
      <w:numFmt w:val="bullet"/>
      <w:lvlText w:val="•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28714">
    <w:abstractNumId w:val="0"/>
  </w:num>
  <w:num w:numId="2" w16cid:durableId="2096856219">
    <w:abstractNumId w:val="1"/>
  </w:num>
  <w:num w:numId="3" w16cid:durableId="198496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attachedTemplate r:id="rId1"/>
  <w:defaultTabStop w:val="720"/>
  <w:characterSpacingControl w:val="doNotCompress"/>
  <w:hdrShapeDefaults>
    <o:shapedefaults v:ext="edit" spidmax="2050">
      <o:colormru v:ext="edit" colors="#f2f2f2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E"/>
    <w:rsid w:val="00086731"/>
    <w:rsid w:val="00090539"/>
    <w:rsid w:val="001178A6"/>
    <w:rsid w:val="00135858"/>
    <w:rsid w:val="00425BFD"/>
    <w:rsid w:val="00474807"/>
    <w:rsid w:val="0048258E"/>
    <w:rsid w:val="00487671"/>
    <w:rsid w:val="0052498D"/>
    <w:rsid w:val="00587684"/>
    <w:rsid w:val="005D4F75"/>
    <w:rsid w:val="006A0A4F"/>
    <w:rsid w:val="007866F4"/>
    <w:rsid w:val="00816545"/>
    <w:rsid w:val="008433AB"/>
    <w:rsid w:val="00986025"/>
    <w:rsid w:val="0099383F"/>
    <w:rsid w:val="00A1393E"/>
    <w:rsid w:val="00A33C51"/>
    <w:rsid w:val="00AE5B3C"/>
    <w:rsid w:val="00AF50D9"/>
    <w:rsid w:val="00B478BA"/>
    <w:rsid w:val="00CF10AF"/>
    <w:rsid w:val="00DE151F"/>
    <w:rsid w:val="00E86901"/>
    <w:rsid w:val="00E91C14"/>
    <w:rsid w:val="00EE2F8A"/>
    <w:rsid w:val="00F0125C"/>
    <w:rsid w:val="00F77CF7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f2f2,white"/>
    </o:shapedefaults>
    <o:shapelayout v:ext="edit">
      <o:idmap v:ext="edit" data="2"/>
    </o:shapelayout>
  </w:shapeDefaults>
  <w:decimalSymbol w:val="."/>
  <w:listSeparator w:val=","/>
  <w14:docId w14:val="6A2E2412"/>
  <w15:chartTrackingRefBased/>
  <w15:docId w15:val="{FE1254AA-CA1C-49F5-A7A0-9CAB73E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B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FD"/>
  </w:style>
  <w:style w:type="paragraph" w:styleId="Footer">
    <w:name w:val="footer"/>
    <w:basedOn w:val="Normal"/>
    <w:link w:val="FooterChar"/>
    <w:uiPriority w:val="99"/>
    <w:unhideWhenUsed/>
    <w:rsid w:val="0042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FD"/>
  </w:style>
  <w:style w:type="character" w:styleId="Hyperlink">
    <w:name w:val="Hyperlink"/>
    <w:basedOn w:val="DefaultParagraphFont"/>
    <w:uiPriority w:val="99"/>
    <w:unhideWhenUsed/>
    <w:rsid w:val="00A139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m.woolnough@sjpp.co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Woolnough\OneDrive%20-%20Cordner%20Wealth%20Management%20Ltd\Documents\Custom%20Office%20Templates\Aeternus%20Heade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1A5AACB09B47B886049509D61DAC" ma:contentTypeVersion="13" ma:contentTypeDescription="Create a new document." ma:contentTypeScope="" ma:versionID="56e6420eac16ea34dc104c5aba985f3d">
  <xsd:schema xmlns:xsd="http://www.w3.org/2001/XMLSchema" xmlns:xs="http://www.w3.org/2001/XMLSchema" xmlns:p="http://schemas.microsoft.com/office/2006/metadata/properties" xmlns:ns2="c309359b-f3ae-4d9b-bd11-ac23a19db11c" xmlns:ns3="ead5cfd5-93ae-46a2-961c-4b2801c33f50" targetNamespace="http://schemas.microsoft.com/office/2006/metadata/properties" ma:root="true" ma:fieldsID="bce55f2d9fea3d3a88df0793dda5ee3e" ns2:_="" ns3:_="">
    <xsd:import namespace="c309359b-f3ae-4d9b-bd11-ac23a19db11c"/>
    <xsd:import namespace="ead5cfd5-93ae-46a2-961c-4b2801c33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359b-f3ae-4d9b-bd11-ac23a19d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4d1a0e-bfd1-42ea-8c55-bc70a32da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cfd5-93ae-46a2-961c-4b2801c33f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b7f922-af05-4088-9865-5613c69f132f}" ma:internalName="TaxCatchAll" ma:showField="CatchAllData" ma:web="ead5cfd5-93ae-46a2-961c-4b2801c33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9359b-f3ae-4d9b-bd11-ac23a19db11c">
      <Terms xmlns="http://schemas.microsoft.com/office/infopath/2007/PartnerControls"/>
    </lcf76f155ced4ddcb4097134ff3c332f>
    <TaxCatchAll xmlns="ead5cfd5-93ae-46a2-961c-4b2801c33f50" xsi:nil="true"/>
  </documentManagement>
</p:properties>
</file>

<file path=customXml/itemProps1.xml><?xml version="1.0" encoding="utf-8"?>
<ds:datastoreItem xmlns:ds="http://schemas.openxmlformats.org/officeDocument/2006/customXml" ds:itemID="{F2263115-DA10-445F-8CC1-F41E5173F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4C3CA-7CB0-47FE-9A1E-8441E9AF4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9359b-f3ae-4d9b-bd11-ac23a19db11c"/>
    <ds:schemaRef ds:uri="ead5cfd5-93ae-46a2-961c-4b2801c33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9C9E1-C7B3-44D8-ADF2-69F85F5EA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D7CC3-EE02-4EF8-B4DA-30B1C9280E3D}">
  <ds:schemaRefs>
    <ds:schemaRef ds:uri="http://schemas.microsoft.com/office/2006/metadata/properties"/>
    <ds:schemaRef ds:uri="http://schemas.microsoft.com/office/infopath/2007/PartnerControls"/>
    <ds:schemaRef ds:uri="c309359b-f3ae-4d9b-bd11-ac23a19db11c"/>
    <ds:schemaRef ds:uri="ead5cfd5-93ae-46a2-961c-4b2801c33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Aeternus Header </Template>
  <TotalTime>69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Woolnough</dc:creator>
  <cp:keywords/>
  <dc:description/>
  <cp:lastModifiedBy>Sam Woolnough</cp:lastModifiedBy>
  <cp:revision>9</cp:revision>
  <dcterms:created xsi:type="dcterms:W3CDTF">2024-07-09T07:37:00Z</dcterms:created>
  <dcterms:modified xsi:type="dcterms:W3CDTF">2025-01-06T14:54:00Z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0x01010050CA1A5AACB09B47B886049509D61DAC</vt:lpwstr>
  </property>
  <property fmtid="{D5CDD505-2E9C-101B-9397-08002B2CF9AE}" pid="3" name="MediaServiceImageTags">
    <vt:lpwstr/>
  </property>
</Properties>
</file>